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B77" w:rsidRPr="00757E8A" w:rsidRDefault="008B4B77" w:rsidP="008B4B77">
      <w:pPr>
        <w:pStyle w:val="Heading1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7E8A">
        <w:rPr>
          <w:rFonts w:ascii="Times New Roman" w:hAnsi="Times New Roman" w:cs="Times New Roman"/>
          <w:color w:val="000000" w:themeColor="text1"/>
          <w:sz w:val="24"/>
          <w:szCs w:val="24"/>
        </w:rPr>
        <w:t>Висока медицинска школа струковних студија у Ћуприји</w:t>
      </w:r>
    </w:p>
    <w:p w:rsidR="008B4B77" w:rsidRPr="00A63519" w:rsidRDefault="008B4B77" w:rsidP="008B4B77">
      <w:pPr>
        <w:pStyle w:val="Heading1"/>
        <w:spacing w:before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23F9D" w:rsidRPr="00A63519" w:rsidRDefault="00772E28" w:rsidP="008B4B77">
      <w:pPr>
        <w:pStyle w:val="Heading1"/>
        <w:spacing w:before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35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Упоредна анализа просечних оцена наставника вештина добијених након зимског семестра </w:t>
      </w:r>
      <w:r w:rsidR="008B4B77" w:rsidRPr="00A63519">
        <w:rPr>
          <w:rFonts w:ascii="Times New Roman" w:hAnsi="Times New Roman" w:cs="Times New Roman"/>
          <w:color w:val="000000" w:themeColor="text1"/>
          <w:sz w:val="22"/>
          <w:szCs w:val="22"/>
        </w:rPr>
        <w:t>школске 2013/</w:t>
      </w:r>
      <w:r w:rsidRPr="00A63519">
        <w:rPr>
          <w:rFonts w:ascii="Times New Roman" w:hAnsi="Times New Roman" w:cs="Times New Roman"/>
          <w:color w:val="000000" w:themeColor="text1"/>
          <w:sz w:val="22"/>
          <w:szCs w:val="22"/>
        </w:rPr>
        <w:t>2014</w:t>
      </w:r>
      <w:r w:rsidR="008B4B77" w:rsidRPr="00A63519">
        <w:rPr>
          <w:rFonts w:ascii="Times New Roman" w:hAnsi="Times New Roman" w:cs="Times New Roman"/>
          <w:color w:val="000000" w:themeColor="text1"/>
          <w:sz w:val="22"/>
          <w:szCs w:val="22"/>
        </w:rPr>
        <w:t>.године</w:t>
      </w:r>
      <w:r w:rsidRPr="00A635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  </w:t>
      </w:r>
      <w:r w:rsidR="008B4B77" w:rsidRPr="00A635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након </w:t>
      </w:r>
      <w:r w:rsidRPr="00A635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зимског семестра </w:t>
      </w:r>
      <w:r w:rsidR="008B4B77" w:rsidRPr="00A63519">
        <w:rPr>
          <w:rFonts w:ascii="Times New Roman" w:hAnsi="Times New Roman" w:cs="Times New Roman"/>
          <w:color w:val="000000" w:themeColor="text1"/>
          <w:sz w:val="22"/>
          <w:szCs w:val="22"/>
        </w:rPr>
        <w:t>школске 2014/</w:t>
      </w:r>
      <w:r w:rsidRPr="00A63519">
        <w:rPr>
          <w:rFonts w:ascii="Times New Roman" w:hAnsi="Times New Roman" w:cs="Times New Roman"/>
          <w:color w:val="000000" w:themeColor="text1"/>
          <w:sz w:val="22"/>
          <w:szCs w:val="22"/>
        </w:rPr>
        <w:t>2015.године</w:t>
      </w:r>
    </w:p>
    <w:p w:rsidR="00772E28" w:rsidRPr="00A63519" w:rsidRDefault="00772E28" w:rsidP="00772E28">
      <w:pPr>
        <w:rPr>
          <w:rFonts w:ascii="Times New Roman" w:hAnsi="Times New Roman" w:cs="Times New Roman"/>
        </w:rPr>
      </w:pPr>
    </w:p>
    <w:p w:rsidR="00772E28" w:rsidRPr="00A63519" w:rsidRDefault="00772E28" w:rsidP="00772E28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tblpX="89" w:tblpY="1"/>
        <w:tblOverlap w:val="never"/>
        <w:tblW w:w="2804" w:type="dxa"/>
        <w:tblLook w:val="04A0"/>
      </w:tblPr>
      <w:tblGrid>
        <w:gridCol w:w="1402"/>
        <w:gridCol w:w="1402"/>
      </w:tblGrid>
      <w:tr w:rsidR="00772E28" w:rsidRPr="00772E28" w:rsidTr="00A63519">
        <w:trPr>
          <w:trHeight w:val="680"/>
        </w:trPr>
        <w:tc>
          <w:tcPr>
            <w:tcW w:w="1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Просечна оцена 2014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Просечна оцена 2015</w:t>
            </w:r>
          </w:p>
        </w:tc>
      </w:tr>
      <w:tr w:rsidR="00772E28" w:rsidRPr="00772E28" w:rsidTr="00A63519">
        <w:trPr>
          <w:trHeight w:val="32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4.66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4.85</w:t>
            </w:r>
          </w:p>
        </w:tc>
      </w:tr>
      <w:tr w:rsidR="00772E28" w:rsidRPr="00772E28" w:rsidTr="00A63519">
        <w:trPr>
          <w:trHeight w:val="32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4.37</w:t>
            </w:r>
          </w:p>
        </w:tc>
      </w:tr>
      <w:tr w:rsidR="00772E28" w:rsidRPr="00772E28" w:rsidTr="00A63519">
        <w:trPr>
          <w:trHeight w:val="32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3.94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4.98</w:t>
            </w:r>
          </w:p>
        </w:tc>
      </w:tr>
      <w:tr w:rsidR="00772E28" w:rsidRPr="00772E28" w:rsidTr="00A63519">
        <w:trPr>
          <w:trHeight w:val="32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4.93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4.78</w:t>
            </w:r>
          </w:p>
        </w:tc>
      </w:tr>
      <w:tr w:rsidR="00772E28" w:rsidRPr="00772E28" w:rsidTr="00A63519">
        <w:trPr>
          <w:trHeight w:val="32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4.79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4.94</w:t>
            </w:r>
          </w:p>
        </w:tc>
      </w:tr>
      <w:tr w:rsidR="00772E28" w:rsidRPr="00772E28" w:rsidTr="00A63519">
        <w:trPr>
          <w:trHeight w:val="32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4.86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4.87</w:t>
            </w:r>
          </w:p>
        </w:tc>
      </w:tr>
      <w:tr w:rsidR="00772E28" w:rsidRPr="00772E28" w:rsidTr="00A63519">
        <w:trPr>
          <w:trHeight w:val="32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3.71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4.75</w:t>
            </w:r>
          </w:p>
        </w:tc>
      </w:tr>
      <w:tr w:rsidR="00772E28" w:rsidRPr="00772E28" w:rsidTr="00A63519">
        <w:trPr>
          <w:trHeight w:val="32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4.59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4.52</w:t>
            </w:r>
          </w:p>
        </w:tc>
      </w:tr>
      <w:tr w:rsidR="00772E28" w:rsidRPr="00772E28" w:rsidTr="00A63519">
        <w:trPr>
          <w:trHeight w:val="32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4.8</w:t>
            </w:r>
            <w:r w:rsidRPr="00A635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4.92</w:t>
            </w:r>
          </w:p>
        </w:tc>
      </w:tr>
      <w:tr w:rsidR="00772E28" w:rsidRPr="00772E28" w:rsidTr="00A63519">
        <w:trPr>
          <w:trHeight w:val="32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4.8</w:t>
            </w:r>
            <w:r w:rsidRPr="00A635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4.78</w:t>
            </w:r>
          </w:p>
        </w:tc>
      </w:tr>
      <w:tr w:rsidR="00772E28" w:rsidRPr="00772E28" w:rsidTr="00A63519">
        <w:trPr>
          <w:trHeight w:val="32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4.57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4.82</w:t>
            </w:r>
          </w:p>
        </w:tc>
      </w:tr>
      <w:tr w:rsidR="00772E28" w:rsidRPr="00772E28" w:rsidTr="00A63519">
        <w:trPr>
          <w:trHeight w:val="32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4.71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4.34</w:t>
            </w:r>
          </w:p>
        </w:tc>
      </w:tr>
      <w:tr w:rsidR="00772E28" w:rsidRPr="00772E28" w:rsidTr="00A63519">
        <w:trPr>
          <w:trHeight w:val="32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4.65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4.71</w:t>
            </w:r>
          </w:p>
        </w:tc>
      </w:tr>
      <w:tr w:rsidR="00772E28" w:rsidRPr="00772E28" w:rsidTr="00A63519">
        <w:trPr>
          <w:trHeight w:val="32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4.57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4.44</w:t>
            </w:r>
          </w:p>
        </w:tc>
      </w:tr>
      <w:tr w:rsidR="00772E28" w:rsidRPr="00772E28" w:rsidTr="00A63519">
        <w:trPr>
          <w:trHeight w:val="32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4.97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4.84</w:t>
            </w:r>
          </w:p>
        </w:tc>
      </w:tr>
      <w:tr w:rsidR="00772E28" w:rsidRPr="00772E28" w:rsidTr="00A63519">
        <w:trPr>
          <w:trHeight w:val="32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4.44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4.87</w:t>
            </w:r>
          </w:p>
        </w:tc>
      </w:tr>
      <w:tr w:rsidR="00772E28" w:rsidRPr="00772E28" w:rsidTr="00A63519">
        <w:trPr>
          <w:trHeight w:val="32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4.71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4.12</w:t>
            </w:r>
          </w:p>
        </w:tc>
      </w:tr>
      <w:tr w:rsidR="00772E28" w:rsidRPr="00772E28" w:rsidTr="00A63519">
        <w:trPr>
          <w:trHeight w:val="32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4.81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4.58</w:t>
            </w:r>
          </w:p>
        </w:tc>
      </w:tr>
      <w:tr w:rsidR="00772E28" w:rsidRPr="00772E28" w:rsidTr="00A63519">
        <w:trPr>
          <w:trHeight w:val="32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4.7</w:t>
            </w:r>
            <w:r w:rsidRPr="00A635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4.31</w:t>
            </w:r>
          </w:p>
        </w:tc>
      </w:tr>
      <w:tr w:rsidR="00772E28" w:rsidRPr="00772E28" w:rsidTr="00A63519">
        <w:trPr>
          <w:trHeight w:val="32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4.65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4.67</w:t>
            </w:r>
          </w:p>
        </w:tc>
      </w:tr>
      <w:tr w:rsidR="00772E28" w:rsidRPr="00772E28" w:rsidTr="00A63519">
        <w:trPr>
          <w:trHeight w:val="32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4.87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4.91</w:t>
            </w:r>
          </w:p>
        </w:tc>
      </w:tr>
      <w:tr w:rsidR="00772E28" w:rsidRPr="00772E28" w:rsidTr="00A63519">
        <w:trPr>
          <w:trHeight w:val="32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4.44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4.95</w:t>
            </w:r>
          </w:p>
        </w:tc>
      </w:tr>
      <w:tr w:rsidR="00772E28" w:rsidRPr="00772E28" w:rsidTr="00A63519">
        <w:trPr>
          <w:trHeight w:val="32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4.83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4.84</w:t>
            </w:r>
          </w:p>
        </w:tc>
      </w:tr>
      <w:tr w:rsidR="00772E28" w:rsidRPr="00772E28" w:rsidTr="00A63519">
        <w:trPr>
          <w:trHeight w:val="32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4.82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4.87</w:t>
            </w:r>
          </w:p>
        </w:tc>
      </w:tr>
      <w:tr w:rsidR="00772E28" w:rsidRPr="00772E28" w:rsidTr="00A63519">
        <w:trPr>
          <w:trHeight w:val="32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4.89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4.92</w:t>
            </w:r>
          </w:p>
        </w:tc>
      </w:tr>
      <w:tr w:rsidR="00772E28" w:rsidRPr="00772E28" w:rsidTr="00A63519">
        <w:trPr>
          <w:trHeight w:val="32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4.81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4.28</w:t>
            </w:r>
          </w:p>
        </w:tc>
      </w:tr>
      <w:tr w:rsidR="00772E28" w:rsidRPr="00772E28" w:rsidTr="00A63519">
        <w:trPr>
          <w:trHeight w:val="32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4.71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4.87</w:t>
            </w:r>
          </w:p>
        </w:tc>
      </w:tr>
      <w:tr w:rsidR="00772E28" w:rsidRPr="00772E28" w:rsidTr="00A63519">
        <w:trPr>
          <w:trHeight w:val="32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3.51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4.44</w:t>
            </w:r>
          </w:p>
        </w:tc>
      </w:tr>
      <w:tr w:rsidR="00772E28" w:rsidRPr="00772E28" w:rsidTr="00A63519">
        <w:trPr>
          <w:trHeight w:val="32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4.48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4.46</w:t>
            </w:r>
          </w:p>
        </w:tc>
      </w:tr>
      <w:tr w:rsidR="00772E28" w:rsidRPr="00772E28" w:rsidTr="00A63519">
        <w:trPr>
          <w:trHeight w:val="32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4.67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28" w:rsidRPr="00772E28" w:rsidRDefault="00772E28" w:rsidP="0077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2E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4.37</w:t>
            </w:r>
          </w:p>
        </w:tc>
      </w:tr>
    </w:tbl>
    <w:p w:rsidR="00772E28" w:rsidRPr="00A63519" w:rsidRDefault="00772E28" w:rsidP="008B4B77">
      <w:pPr>
        <w:ind w:firstLine="720"/>
        <w:jc w:val="both"/>
        <w:rPr>
          <w:rFonts w:ascii="Times New Roman" w:hAnsi="Times New Roman" w:cs="Times New Roman"/>
        </w:rPr>
      </w:pPr>
      <w:r w:rsidRPr="00A63519">
        <w:rPr>
          <w:rFonts w:ascii="Times New Roman" w:hAnsi="Times New Roman" w:cs="Times New Roman"/>
        </w:rPr>
        <w:t>У табели су приказане просечне оцене наставника вештина које су добили од стране студената након зимског семестра школске 2013/2014.</w:t>
      </w:r>
      <w:r w:rsidR="00FE0884" w:rsidRPr="00A63519">
        <w:rPr>
          <w:rFonts w:ascii="Times New Roman" w:hAnsi="Times New Roman" w:cs="Times New Roman"/>
        </w:rPr>
        <w:t xml:space="preserve"> </w:t>
      </w:r>
      <w:r w:rsidRPr="00A63519">
        <w:rPr>
          <w:rFonts w:ascii="Times New Roman" w:hAnsi="Times New Roman" w:cs="Times New Roman"/>
        </w:rPr>
        <w:t>године</w:t>
      </w:r>
      <w:r w:rsidR="008B4B77" w:rsidRPr="00A63519">
        <w:rPr>
          <w:rFonts w:ascii="Times New Roman" w:hAnsi="Times New Roman" w:cs="Times New Roman"/>
        </w:rPr>
        <w:t xml:space="preserve"> и просечне оцене наставника вештина које су добили од стране студената након зимског семестра школске 2014/2015.</w:t>
      </w:r>
      <w:r w:rsidR="00FE0884" w:rsidRPr="00A63519">
        <w:rPr>
          <w:rFonts w:ascii="Times New Roman" w:hAnsi="Times New Roman" w:cs="Times New Roman"/>
        </w:rPr>
        <w:t xml:space="preserve"> </w:t>
      </w:r>
      <w:r w:rsidR="008B4B77" w:rsidRPr="00A63519">
        <w:rPr>
          <w:rFonts w:ascii="Times New Roman" w:hAnsi="Times New Roman" w:cs="Times New Roman"/>
        </w:rPr>
        <w:t>године на истом предмету и студијском програму.</w:t>
      </w:r>
    </w:p>
    <w:p w:rsidR="008B4B77" w:rsidRPr="00A63519" w:rsidRDefault="008B4B77" w:rsidP="008B4B77">
      <w:pPr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A63519">
        <w:rPr>
          <w:rFonts w:ascii="Times New Roman" w:hAnsi="Times New Roman" w:cs="Times New Roman"/>
        </w:rPr>
        <w:t>Употребом Вилкоксоновог теста еквивалентних парова проверила сам да ли постоји статистички начајна разлика у оствареним просечним оценама</w:t>
      </w:r>
      <w:r w:rsidRPr="00A63519">
        <w:rPr>
          <w:rFonts w:ascii="Times New Roman" w:hAnsi="Times New Roman" w:cs="Times New Roman"/>
          <w:color w:val="000000" w:themeColor="text1"/>
        </w:rPr>
        <w:t xml:space="preserve"> након зимског семестра 2014.године и  зимског семестра 2015.године и дошла до следећих закључака:</w:t>
      </w:r>
    </w:p>
    <w:tbl>
      <w:tblPr>
        <w:tblpPr w:leftFromText="180" w:rightFromText="180" w:vertAnchor="text" w:horzAnchor="page" w:tblpX="6256" w:tblpY="1186"/>
        <w:tblOverlap w:val="never"/>
        <w:tblW w:w="3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39"/>
        <w:gridCol w:w="426"/>
        <w:gridCol w:w="850"/>
        <w:gridCol w:w="851"/>
      </w:tblGrid>
      <w:tr w:rsidR="00A63519" w:rsidRPr="00A63519" w:rsidTr="00C4578C">
        <w:trPr>
          <w:cantSplit/>
          <w:tblHeader/>
        </w:trPr>
        <w:tc>
          <w:tcPr>
            <w:tcW w:w="3266" w:type="dxa"/>
            <w:gridSpan w:val="4"/>
            <w:shd w:val="clear" w:color="auto" w:fill="FFFFFF"/>
          </w:tcPr>
          <w:p w:rsidR="00A63519" w:rsidRPr="004D40F1" w:rsidRDefault="00A63519" w:rsidP="00C4578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40F1">
              <w:rPr>
                <w:rFonts w:ascii="Times New Roman" w:hAnsi="Times New Roman" w:cs="Times New Roman"/>
                <w:b/>
                <w:bCs/>
                <w:color w:val="000000"/>
              </w:rPr>
              <w:t>Ranks</w:t>
            </w:r>
          </w:p>
        </w:tc>
      </w:tr>
      <w:tr w:rsidR="00BC3C71" w:rsidRPr="00A63519" w:rsidTr="00BC3C71">
        <w:trPr>
          <w:cantSplit/>
          <w:tblHeader/>
        </w:trPr>
        <w:tc>
          <w:tcPr>
            <w:tcW w:w="1139" w:type="dxa"/>
            <w:shd w:val="clear" w:color="auto" w:fill="FFFFFF"/>
          </w:tcPr>
          <w:p w:rsidR="00A63519" w:rsidRPr="004D40F1" w:rsidRDefault="00A63519" w:rsidP="00C4578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40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pr2015 - pr2014</w:t>
            </w:r>
          </w:p>
        </w:tc>
        <w:tc>
          <w:tcPr>
            <w:tcW w:w="426" w:type="dxa"/>
            <w:shd w:val="clear" w:color="auto" w:fill="FFFFFF"/>
            <w:vAlign w:val="bottom"/>
          </w:tcPr>
          <w:p w:rsidR="00A63519" w:rsidRPr="004D40F1" w:rsidRDefault="00A63519" w:rsidP="00C4578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40F1">
              <w:rPr>
                <w:rFonts w:ascii="Times New Roman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A63519" w:rsidRPr="004D40F1" w:rsidRDefault="00A63519" w:rsidP="00C4578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40F1">
              <w:rPr>
                <w:rFonts w:ascii="Times New Roman" w:hAnsi="Times New Roman" w:cs="Times New Roman"/>
                <w:color w:val="000000"/>
              </w:rPr>
              <w:t>Mean Rank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A63519" w:rsidRPr="004D40F1" w:rsidRDefault="00A63519" w:rsidP="00C4578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40F1">
              <w:rPr>
                <w:rFonts w:ascii="Times New Roman" w:hAnsi="Times New Roman" w:cs="Times New Roman"/>
                <w:color w:val="000000"/>
              </w:rPr>
              <w:t>Sum of Ranks</w:t>
            </w:r>
          </w:p>
        </w:tc>
      </w:tr>
      <w:tr w:rsidR="00BC3C71" w:rsidRPr="00A63519" w:rsidTr="00BC3C71">
        <w:trPr>
          <w:cantSplit/>
          <w:tblHeader/>
        </w:trPr>
        <w:tc>
          <w:tcPr>
            <w:tcW w:w="1139" w:type="dxa"/>
            <w:shd w:val="clear" w:color="auto" w:fill="FFFFFF"/>
          </w:tcPr>
          <w:p w:rsidR="00A63519" w:rsidRPr="004D40F1" w:rsidRDefault="00A63519" w:rsidP="00C4578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4D40F1">
              <w:rPr>
                <w:rFonts w:ascii="Times New Roman" w:hAnsi="Times New Roman" w:cs="Times New Roman"/>
                <w:color w:val="000000"/>
              </w:rPr>
              <w:t>Negative Ranks</w:t>
            </w:r>
          </w:p>
        </w:tc>
        <w:tc>
          <w:tcPr>
            <w:tcW w:w="426" w:type="dxa"/>
            <w:shd w:val="clear" w:color="auto" w:fill="FFFFFF"/>
          </w:tcPr>
          <w:p w:rsidR="00A63519" w:rsidRPr="004D40F1" w:rsidRDefault="00A63519" w:rsidP="00C4578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D40F1">
              <w:rPr>
                <w:rFonts w:ascii="Times New Roman" w:hAnsi="Times New Roman" w:cs="Times New Roman"/>
                <w:color w:val="000000"/>
              </w:rPr>
              <w:t>12</w:t>
            </w:r>
            <w:r w:rsidRPr="004D40F1"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850" w:type="dxa"/>
            <w:shd w:val="clear" w:color="auto" w:fill="FFFFFF"/>
          </w:tcPr>
          <w:p w:rsidR="00A63519" w:rsidRPr="004D40F1" w:rsidRDefault="00A63519" w:rsidP="00C4578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D40F1">
              <w:rPr>
                <w:rFonts w:ascii="Times New Roman" w:hAnsi="Times New Roman" w:cs="Times New Roman"/>
                <w:color w:val="000000"/>
              </w:rPr>
              <w:t>15.79</w:t>
            </w:r>
          </w:p>
        </w:tc>
        <w:tc>
          <w:tcPr>
            <w:tcW w:w="851" w:type="dxa"/>
            <w:shd w:val="clear" w:color="auto" w:fill="FFFFFF"/>
          </w:tcPr>
          <w:p w:rsidR="00A63519" w:rsidRPr="004D40F1" w:rsidRDefault="00A63519" w:rsidP="00C4578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D40F1">
              <w:rPr>
                <w:rFonts w:ascii="Times New Roman" w:hAnsi="Times New Roman" w:cs="Times New Roman"/>
                <w:color w:val="000000"/>
              </w:rPr>
              <w:t>189.50</w:t>
            </w:r>
          </w:p>
        </w:tc>
      </w:tr>
      <w:tr w:rsidR="00BC3C71" w:rsidRPr="00A63519" w:rsidTr="00BC3C71">
        <w:trPr>
          <w:cantSplit/>
          <w:tblHeader/>
        </w:trPr>
        <w:tc>
          <w:tcPr>
            <w:tcW w:w="1139" w:type="dxa"/>
            <w:shd w:val="clear" w:color="auto" w:fill="FFFFFF"/>
          </w:tcPr>
          <w:p w:rsidR="00A63519" w:rsidRPr="004D40F1" w:rsidRDefault="00A63519" w:rsidP="00C4578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4D40F1">
              <w:rPr>
                <w:rFonts w:ascii="Times New Roman" w:hAnsi="Times New Roman" w:cs="Times New Roman"/>
                <w:color w:val="000000"/>
              </w:rPr>
              <w:t>Positive Ranks</w:t>
            </w:r>
          </w:p>
        </w:tc>
        <w:tc>
          <w:tcPr>
            <w:tcW w:w="426" w:type="dxa"/>
            <w:shd w:val="clear" w:color="auto" w:fill="FFFFFF"/>
          </w:tcPr>
          <w:p w:rsidR="00A63519" w:rsidRPr="004D40F1" w:rsidRDefault="00A63519" w:rsidP="00C4578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D40F1">
              <w:rPr>
                <w:rFonts w:ascii="Times New Roman" w:hAnsi="Times New Roman" w:cs="Times New Roman"/>
                <w:color w:val="000000"/>
              </w:rPr>
              <w:t>18</w:t>
            </w:r>
            <w:r w:rsidRPr="004D40F1">
              <w:rPr>
                <w:rFonts w:ascii="Times New Roman" w:hAnsi="Times New Roman" w:cs="Times New Roman"/>
                <w:color w:val="000000"/>
                <w:vertAlign w:val="superscript"/>
              </w:rPr>
              <w:t>b</w:t>
            </w:r>
          </w:p>
        </w:tc>
        <w:tc>
          <w:tcPr>
            <w:tcW w:w="850" w:type="dxa"/>
            <w:shd w:val="clear" w:color="auto" w:fill="FFFFFF"/>
          </w:tcPr>
          <w:p w:rsidR="00A63519" w:rsidRPr="004D40F1" w:rsidRDefault="00A63519" w:rsidP="00C4578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D40F1">
              <w:rPr>
                <w:rFonts w:ascii="Times New Roman" w:hAnsi="Times New Roman" w:cs="Times New Roman"/>
                <w:color w:val="000000"/>
              </w:rPr>
              <w:t>15.31</w:t>
            </w:r>
          </w:p>
        </w:tc>
        <w:tc>
          <w:tcPr>
            <w:tcW w:w="851" w:type="dxa"/>
            <w:shd w:val="clear" w:color="auto" w:fill="FFFFFF"/>
          </w:tcPr>
          <w:p w:rsidR="00A63519" w:rsidRPr="004D40F1" w:rsidRDefault="00A63519" w:rsidP="00C4578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D40F1">
              <w:rPr>
                <w:rFonts w:ascii="Times New Roman" w:hAnsi="Times New Roman" w:cs="Times New Roman"/>
                <w:color w:val="000000"/>
              </w:rPr>
              <w:t>275.50</w:t>
            </w:r>
          </w:p>
        </w:tc>
      </w:tr>
    </w:tbl>
    <w:p w:rsidR="008B4B77" w:rsidRPr="00A63519" w:rsidRDefault="00A63519" w:rsidP="00A63519">
      <w:pPr>
        <w:pStyle w:val="ListParagraph"/>
        <w:numPr>
          <w:ilvl w:val="0"/>
          <w:numId w:val="1"/>
        </w:numPr>
        <w:spacing w:after="360"/>
        <w:ind w:left="3827" w:hanging="3260"/>
        <w:jc w:val="both"/>
        <w:rPr>
          <w:rFonts w:ascii="Times New Roman" w:hAnsi="Times New Roman" w:cs="Times New Roman"/>
          <w:color w:val="000000" w:themeColor="text1"/>
        </w:rPr>
      </w:pPr>
      <w:r w:rsidRPr="00A63519">
        <w:rPr>
          <w:rFonts w:ascii="Times New Roman" w:hAnsi="Times New Roman" w:cs="Times New Roman"/>
          <w:color w:val="000000" w:themeColor="text1"/>
        </w:rPr>
        <w:t xml:space="preserve"> </w:t>
      </w:r>
      <w:r w:rsidR="008B4B77" w:rsidRPr="00A63519">
        <w:rPr>
          <w:rFonts w:ascii="Times New Roman" w:hAnsi="Times New Roman" w:cs="Times New Roman"/>
          <w:color w:val="000000" w:themeColor="text1"/>
        </w:rPr>
        <w:t xml:space="preserve">Од посматраних 30 парова оцена, 12 наставника је оцењено нижом оценом у јануару 2015.године </w:t>
      </w:r>
      <w:r w:rsidR="00296192" w:rsidRPr="00A63519">
        <w:rPr>
          <w:rFonts w:ascii="Times New Roman" w:hAnsi="Times New Roman" w:cs="Times New Roman"/>
          <w:color w:val="000000" w:themeColor="text1"/>
        </w:rPr>
        <w:t>док је 18 наставника оцењено нижом оценом у јануару 2014.године.</w:t>
      </w:r>
    </w:p>
    <w:p w:rsidR="00296192" w:rsidRDefault="00296192" w:rsidP="00296192">
      <w:pPr>
        <w:pStyle w:val="ListParagraph"/>
        <w:ind w:left="3828"/>
        <w:jc w:val="both"/>
        <w:rPr>
          <w:rFonts w:ascii="Times New Roman" w:hAnsi="Times New Roman" w:cs="Times New Roman"/>
          <w:color w:val="000000" w:themeColor="text1"/>
        </w:rPr>
      </w:pPr>
    </w:p>
    <w:p w:rsidR="00A63519" w:rsidRDefault="00A63519" w:rsidP="00296192">
      <w:pPr>
        <w:pStyle w:val="ListParagraph"/>
        <w:ind w:left="3828"/>
        <w:jc w:val="both"/>
        <w:rPr>
          <w:rFonts w:ascii="Times New Roman" w:hAnsi="Times New Roman" w:cs="Times New Roman"/>
          <w:color w:val="000000" w:themeColor="text1"/>
        </w:rPr>
      </w:pPr>
    </w:p>
    <w:p w:rsidR="00A63519" w:rsidRDefault="00A63519" w:rsidP="00296192">
      <w:pPr>
        <w:pStyle w:val="ListParagraph"/>
        <w:ind w:left="3828"/>
        <w:jc w:val="both"/>
        <w:rPr>
          <w:rFonts w:ascii="Times New Roman" w:hAnsi="Times New Roman" w:cs="Times New Roman"/>
          <w:color w:val="000000" w:themeColor="text1"/>
        </w:rPr>
      </w:pPr>
    </w:p>
    <w:p w:rsidR="00A63519" w:rsidRDefault="00A63519" w:rsidP="00296192">
      <w:pPr>
        <w:pStyle w:val="ListParagraph"/>
        <w:ind w:left="3828"/>
        <w:jc w:val="both"/>
        <w:rPr>
          <w:rFonts w:ascii="Times New Roman" w:hAnsi="Times New Roman" w:cs="Times New Roman"/>
          <w:color w:val="000000" w:themeColor="text1"/>
        </w:rPr>
      </w:pPr>
    </w:p>
    <w:p w:rsidR="00A63519" w:rsidRDefault="00A63519" w:rsidP="00296192">
      <w:pPr>
        <w:pStyle w:val="ListParagraph"/>
        <w:ind w:left="3828"/>
        <w:jc w:val="both"/>
        <w:rPr>
          <w:rFonts w:ascii="Times New Roman" w:hAnsi="Times New Roman" w:cs="Times New Roman"/>
          <w:color w:val="000000" w:themeColor="text1"/>
        </w:rPr>
      </w:pPr>
    </w:p>
    <w:p w:rsidR="00A63519" w:rsidRDefault="00A63519" w:rsidP="00296192">
      <w:pPr>
        <w:pStyle w:val="ListParagraph"/>
        <w:ind w:left="3828"/>
        <w:jc w:val="both"/>
        <w:rPr>
          <w:rFonts w:ascii="Times New Roman" w:hAnsi="Times New Roman" w:cs="Times New Roman"/>
          <w:color w:val="000000" w:themeColor="text1"/>
        </w:rPr>
      </w:pPr>
    </w:p>
    <w:p w:rsidR="00A63519" w:rsidRDefault="00A63519" w:rsidP="00296192">
      <w:pPr>
        <w:pStyle w:val="ListParagraph"/>
        <w:ind w:left="3828"/>
        <w:jc w:val="both"/>
        <w:rPr>
          <w:rFonts w:ascii="Times New Roman" w:hAnsi="Times New Roman" w:cs="Times New Roman"/>
          <w:color w:val="000000" w:themeColor="text1"/>
        </w:rPr>
      </w:pPr>
    </w:p>
    <w:p w:rsidR="00A63519" w:rsidRPr="00A63519" w:rsidRDefault="00A63519" w:rsidP="00296192">
      <w:pPr>
        <w:pStyle w:val="ListParagraph"/>
        <w:ind w:left="3828"/>
        <w:jc w:val="both"/>
        <w:rPr>
          <w:rFonts w:ascii="Times New Roman" w:hAnsi="Times New Roman" w:cs="Times New Roman"/>
          <w:color w:val="000000" w:themeColor="text1"/>
        </w:rPr>
      </w:pPr>
    </w:p>
    <w:p w:rsidR="00296192" w:rsidRPr="007E46AE" w:rsidRDefault="00296192" w:rsidP="00296192">
      <w:pPr>
        <w:pStyle w:val="ListParagraph"/>
        <w:numPr>
          <w:ilvl w:val="0"/>
          <w:numId w:val="1"/>
        </w:numPr>
        <w:ind w:left="3828" w:hanging="3261"/>
        <w:jc w:val="both"/>
        <w:rPr>
          <w:rFonts w:ascii="Times New Roman" w:hAnsi="Times New Roman" w:cs="Times New Roman"/>
          <w:b/>
          <w:color w:val="000000" w:themeColor="text1"/>
        </w:rPr>
      </w:pPr>
      <w:r w:rsidRPr="007E46AE">
        <w:rPr>
          <w:rFonts w:ascii="Times New Roman" w:hAnsi="Times New Roman" w:cs="Times New Roman"/>
          <w:b/>
          <w:color w:val="000000" w:themeColor="text1"/>
        </w:rPr>
        <w:t xml:space="preserve">Са нивоом значајности од 0,05 можемо закључити да просечне оцене наставника вештина након зимског семестра добијене у јануару 2014.године и јануару 2015.године имају исту расподелу, односно да не можемо донети закључак у корист алтернативне претпоставке да су просечне </w:t>
      </w:r>
      <w:r w:rsidR="00FE0884" w:rsidRPr="007E46AE">
        <w:rPr>
          <w:rFonts w:ascii="Times New Roman" w:hAnsi="Times New Roman" w:cs="Times New Roman"/>
          <w:b/>
          <w:color w:val="000000" w:themeColor="text1"/>
        </w:rPr>
        <w:t xml:space="preserve">остварене </w:t>
      </w:r>
      <w:r w:rsidRPr="007E46AE">
        <w:rPr>
          <w:rFonts w:ascii="Times New Roman" w:hAnsi="Times New Roman" w:cs="Times New Roman"/>
          <w:b/>
          <w:color w:val="000000" w:themeColor="text1"/>
        </w:rPr>
        <w:t xml:space="preserve">оцене </w:t>
      </w:r>
      <w:r w:rsidR="00FE0884" w:rsidRPr="007E46AE">
        <w:rPr>
          <w:rFonts w:ascii="Times New Roman" w:hAnsi="Times New Roman" w:cs="Times New Roman"/>
          <w:b/>
          <w:color w:val="000000" w:themeColor="text1"/>
        </w:rPr>
        <w:t xml:space="preserve">израчунате у јануару 2015.године (ове оцене су добијене </w:t>
      </w:r>
      <w:r w:rsidR="00FE0884" w:rsidRPr="00243309">
        <w:rPr>
          <w:rFonts w:ascii="Times New Roman" w:hAnsi="Times New Roman" w:cs="Times New Roman"/>
          <w:b/>
          <w:color w:val="000000" w:themeColor="text1"/>
          <w:u w:val="thick"/>
        </w:rPr>
        <w:t>електронском анкетом</w:t>
      </w:r>
      <w:r w:rsidR="00FE0884" w:rsidRPr="007E46AE">
        <w:rPr>
          <w:rFonts w:ascii="Times New Roman" w:hAnsi="Times New Roman" w:cs="Times New Roman"/>
          <w:b/>
          <w:color w:val="000000" w:themeColor="text1"/>
        </w:rPr>
        <w:t xml:space="preserve">) веће од просечних оцена добијених у јануару 2014.године (ове оцене су добијене </w:t>
      </w:r>
      <w:r w:rsidR="00FE0884" w:rsidRPr="00243309">
        <w:rPr>
          <w:rFonts w:ascii="Times New Roman" w:hAnsi="Times New Roman" w:cs="Times New Roman"/>
          <w:b/>
          <w:color w:val="000000" w:themeColor="text1"/>
          <w:u w:val="thick"/>
        </w:rPr>
        <w:t>папирном анкетом</w:t>
      </w:r>
      <w:r w:rsidR="00FE0884" w:rsidRPr="007E46AE">
        <w:rPr>
          <w:rFonts w:ascii="Times New Roman" w:hAnsi="Times New Roman" w:cs="Times New Roman"/>
          <w:b/>
          <w:color w:val="000000" w:themeColor="text1"/>
        </w:rPr>
        <w:t>).</w:t>
      </w:r>
    </w:p>
    <w:tbl>
      <w:tblPr>
        <w:tblpPr w:leftFromText="180" w:rightFromText="180" w:vertAnchor="text" w:horzAnchor="page" w:tblpX="6518" w:tblpY="88"/>
        <w:tblOverlap w:val="never"/>
        <w:tblW w:w="2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0" w:type="dxa"/>
        </w:tblCellMar>
        <w:tblLook w:val="0000"/>
      </w:tblPr>
      <w:tblGrid>
        <w:gridCol w:w="2098"/>
        <w:gridCol w:w="709"/>
      </w:tblGrid>
      <w:tr w:rsidR="007E46AE" w:rsidRPr="00A63519" w:rsidTr="007E46AE">
        <w:trPr>
          <w:cantSplit/>
          <w:trHeight w:val="454"/>
          <w:tblHeader/>
        </w:trPr>
        <w:tc>
          <w:tcPr>
            <w:tcW w:w="2807" w:type="dxa"/>
            <w:gridSpan w:val="2"/>
            <w:shd w:val="clear" w:color="auto" w:fill="FFFFFF"/>
          </w:tcPr>
          <w:p w:rsidR="007E46AE" w:rsidRPr="00A63519" w:rsidRDefault="007E46AE" w:rsidP="007E46AE">
            <w:pPr>
              <w:pStyle w:val="ListParagraph"/>
              <w:spacing w:after="0" w:line="400" w:lineRule="atLeast"/>
              <w:ind w:left="0"/>
              <w:rPr>
                <w:rFonts w:ascii="Times New Roman" w:hAnsi="Times New Roman" w:cs="Times New Roman"/>
              </w:rPr>
            </w:pPr>
            <w:r w:rsidRPr="00A63519">
              <w:rPr>
                <w:rFonts w:ascii="Times New Roman" w:hAnsi="Times New Roman" w:cs="Times New Roman"/>
                <w:b/>
                <w:bCs/>
              </w:rPr>
              <w:t>Test Statistics</w:t>
            </w:r>
            <w:r w:rsidRPr="00A63519">
              <w:rPr>
                <w:rFonts w:ascii="Times New Roman" w:hAnsi="Times New Roman" w:cs="Times New Roman"/>
                <w:b/>
                <w:bCs/>
                <w:vertAlign w:val="superscript"/>
              </w:rPr>
              <w:t>b</w:t>
            </w:r>
          </w:p>
        </w:tc>
      </w:tr>
      <w:tr w:rsidR="007E46AE" w:rsidRPr="00A63519" w:rsidTr="002A73B0">
        <w:trPr>
          <w:cantSplit/>
          <w:trHeight w:val="454"/>
          <w:tblHeader/>
        </w:trPr>
        <w:tc>
          <w:tcPr>
            <w:tcW w:w="2098" w:type="dxa"/>
            <w:shd w:val="clear" w:color="auto" w:fill="FFFFFF"/>
            <w:vAlign w:val="center"/>
          </w:tcPr>
          <w:p w:rsidR="007E46AE" w:rsidRPr="00A63519" w:rsidRDefault="007E46AE" w:rsidP="007E46A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63519">
              <w:rPr>
                <w:rFonts w:ascii="Times New Roman" w:hAnsi="Times New Roman" w:cs="Times New Roman"/>
              </w:rPr>
              <w:t>Exact Sig. (1-tailed)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46AE" w:rsidRPr="00A63519" w:rsidRDefault="002A73B0" w:rsidP="002A73B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0</w:t>
            </w:r>
            <w:r w:rsidR="007E46AE" w:rsidRPr="00A63519">
              <w:rPr>
                <w:rFonts w:ascii="Times New Roman" w:hAnsi="Times New Roman" w:cs="Times New Roman"/>
              </w:rPr>
              <w:t>.192</w:t>
            </w:r>
          </w:p>
        </w:tc>
      </w:tr>
    </w:tbl>
    <w:p w:rsidR="00A63519" w:rsidRPr="00A63519" w:rsidRDefault="00A63519" w:rsidP="004D40F1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A63519" w:rsidRPr="00A63519" w:rsidRDefault="00A63519" w:rsidP="004D40F1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A63519" w:rsidRPr="00A63519" w:rsidRDefault="00A63519" w:rsidP="004D40F1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A63519" w:rsidRPr="00A63519" w:rsidRDefault="00A63519" w:rsidP="004D40F1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A63519" w:rsidRPr="00A63519" w:rsidRDefault="00A63519" w:rsidP="004D40F1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sectPr w:rsidR="00A63519" w:rsidRPr="00A63519" w:rsidSect="00A63519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45519"/>
    <w:multiLevelType w:val="hybridMultilevel"/>
    <w:tmpl w:val="E34A48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72E28"/>
    <w:rsid w:val="0012560B"/>
    <w:rsid w:val="00243309"/>
    <w:rsid w:val="00296192"/>
    <w:rsid w:val="002A73B0"/>
    <w:rsid w:val="002E664A"/>
    <w:rsid w:val="004D40F1"/>
    <w:rsid w:val="00723F9D"/>
    <w:rsid w:val="00757E8A"/>
    <w:rsid w:val="00772E28"/>
    <w:rsid w:val="007E46AE"/>
    <w:rsid w:val="00890224"/>
    <w:rsid w:val="008B4B77"/>
    <w:rsid w:val="00A63519"/>
    <w:rsid w:val="00A8656C"/>
    <w:rsid w:val="00AC6D33"/>
    <w:rsid w:val="00BC3C71"/>
    <w:rsid w:val="00C4578C"/>
    <w:rsid w:val="00DB5489"/>
    <w:rsid w:val="00FE0884"/>
    <w:rsid w:val="00FF5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F9D"/>
  </w:style>
  <w:style w:type="paragraph" w:styleId="Heading1">
    <w:name w:val="heading 1"/>
    <w:basedOn w:val="Normal"/>
    <w:next w:val="Normal"/>
    <w:link w:val="Heading1Char"/>
    <w:uiPriority w:val="9"/>
    <w:qFormat/>
    <w:rsid w:val="00772E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961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2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B44F9-16F8-453B-B582-BB4C1BE7A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Informatika1</dc:creator>
  <cp:lastModifiedBy>Informatika1</cp:lastModifiedBy>
  <cp:revision>5</cp:revision>
  <dcterms:created xsi:type="dcterms:W3CDTF">2016-03-03T17:31:00Z</dcterms:created>
  <dcterms:modified xsi:type="dcterms:W3CDTF">2016-03-14T13:14:00Z</dcterms:modified>
</cp:coreProperties>
</file>